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Татарстан от 03.02.2021, оставленным без изменения постановлением Одиннадцатого арбитражного апелляционного суда от 05.04.2021, в удовлетворении требования общества с ограниченной ответственностью «ОйлТэк» (кредитор, далее – общество) о включении в реестр требований кредиторов должника требования в размере 2 841 001 рубля 52 копеек отказано. Постановлением Арбитражного суда Поволжского округа от 15.07.2021 определение и постановление апелляционного суда отменены, дело направлено на новое рассмотрение в суд первой инстанции. В кассационной жалобе Хрулев И.А. просит отменить постановление окружного суда, ссылаясь на отсутствие оснований для отмены судебных актов нижестоящих судов.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установил, что суды нижестоящих инстанций при применении исковой давности не учли обстоятельства, с которыми связывается перерыв течения ее срока (зачет, признание долга), поэтому признал необходимость нового рассмотрения дела в силу предусмотренных статьями 286, 287 Арбитражного процессуального кодекса Российской Федерации полномочий. Довод заявителя о нарушении обжалуемым постановлением его прав в связи с обязательностью указаний окружного суда неоснователен, учитывая определение судом требующих проверки обстоятельств без установления их.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гражданину Хрулеву Ивану Анатольевичу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