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07.09.2020, оставленным без изменения постановлением Пятнадцатого арбитражного апелляционного суда от 31.01.2021 и постановлением Арбитражного суда Северо-Кавказского округа от 27.05.2021, в удовлетворении заявления отказано в связи с истечением срока исковой давности. В кассационной жалобе Иванова М.В. просит об отмене судебных актов, указывая на неправильную оценку доказательств получения информации о сделках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Из установленных обстоятельств следует, что течение срока исковой давности на оспаривание сделки на основании норм о банкротстве определено судами по правилу статьи 200 Гражданского кодекса Российской Федерации с момента осведомленности основанных на решении суда в том числе о взыскании спорной суммы притязаниях Бабкина И.А.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Ивановой М.В.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