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27.01.2021, оставленным без изменения постановлением Девятого арбитражного апелляционного суда от 20.04.2021, взыскано 2 004 092 рубля 71 копейка убытков в виде расходов на ремонт и 169 000 рублей упущенной выгоды. Арбитражный суд Московского округа постановлением от 30.07.2021 решение от 27.01.2021 и постановление Девятого арбитражного апелляционного суда от 20.04.2021 оставил без изменения. В кассационной жалобе акционерное общество «Русагротранс» просит об отмене судебных актов в части отказа во взыскании упущенной выгоды, ссылаясь на продление договора аренды в качестве основания для использования вагонов.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необходимые в силу статьи 15, 1064 Гражданского кодекса Российской Федерации условия для взыскания упущенной выгоды, установлены судами и их пересмотр не попадает под основания для изменения или отмены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«Русагротранс»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