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09.11.2021 с ходатайством о восстановлении срока. Заявитель просит восстановить срок в связи с публикацией 09.09.2021 полного текста постановления окружного суда от 08.09.2021.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и этот срок может быть восстановлен в случае пропуска по независящим от заявителя причинам.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Кодекса, порядке. В связи с обозначенной причиной срок восстановлению не подлежит. 2 Поданная в электронном виде жалоба не возвращается, а не рассматривается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Кирюшиной Любови Юрьевне в восстановлении срока подачи кассационной жалобы на определение Арбитражного суда Алтайского края от 16.03.2021, постановление Седьмого арбитражного апелляционного суда от 17.05.2021 и постановление Арбитражного суда Западно-Сибирского округа от 08.09.2021 по делу № А03-3366/2019. Кассационную жалобу Кирюшиной Любови Юрьевны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