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18.03.2021, оставленным без изменения постановлением Девятого арбитражного апелляционного суда от 08.06.2021 и постановлением Арбитражного суда Московского округа от 02.09.2021, в удовлетворении заявления отказано. В кассационной жалобе Кулешова М.А. просит об отмене судебных актов, ссылаясь на наличие иного имущества для удовлетворения требований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установили, что спорная квартира не является единственным пригодным для постоянного проживания должника и членов его семьи жильем, вследствие чего на нее в силу статьи 446 Гражданского процессуального кодекса Российской Федерации и статьи 213.25 Федерального закона от 26.10.2002 № 127-ФЗ «О несостоятельности (банкротстве)» не распространяется исполнительский иммунитет. Доводы кассационной жалобы не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Кулешовой М.А.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