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спора определением Арбитражного суда города Москвы от 02.03.2021, оставленным без изменения постановлением Девятого арбитражного апелляционного суда от 27.04.2021, признаны недействительными договор купли-продажи квартиры от 16.10.2017, заключенный между Асеевой Т.Н. и Алиевым В.М., и запись об ипотеке № 77:01:0006007:1703-77/007/2017-3 в отношении названной квартиры в пользу Чобану М.С., восстановлено право собственности должника на квартиру. Арбитражный суд Московского округа постановлением от 21.07.2021 определение от 02.03.2021 и постановление апелляционного суда от 27.04.2021 оставил без изменения. В кассационной жалобе Алиев В.М. просит об отмене судебных актов, ссылаясь на отсутствие законных условий для признания сделки недействительной и применение ненадлежащих последствий недействительности.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оспариваемой сделкой с целью вывода имущества из конкурсной массы прикрыта купля-продажа квартиры за счет средств должника, поэтому признали оспариваемый договор недействительным в силу пункта 2 статьи 170 Гражданского кодекса Российской Федерации. Довод заявителя о применении ненадлежащих последствий недействительности притворной сделки неоснователен, учитывая восстановление прав на имущество за должником, признанным участником прикрытого договора купли-продажи.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Алиеву В.М.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