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Приморского края от 18.12.2020, оставленным без изменения постановлением Пятого арбитражного апелляционного суда от 12.05.2021, оспариваемые сделки признаны недействительными на Смольянинова А.Н. (приобретателя) возложена обязанность возвратить в конкурсную массу должника трехэтажный жилой дом, земельные участки (кадастровые номера 25:28:050022:520, 25:28:050022:521), права и обязанности по договорам аренды земельных участков (кадастровые номера 25:28:050022:360, 25:28:050022:490, 25:28:050022:489). Арбитражный суд Дальневосточного округа постановлением от 12.07.2021 отменил определение от 18.12.2020 и постановление апелляционного суда от 12.05.2021, направив спор на новое рассмотрение в Арбитражный суд Приморского края. 2 В кассационной жалобе финансовый управляющий просит об отмене постановления суда округа, ссылаясь на отсутствие оснований для отмены судебных актов нижестоящих судов и нарушение пределов рассмотрения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 установил, что суды первой и апелляционной инстанций не исследовали обстоятельства, составляющих условия недействительности сделок, поэтому в силу предоставленных статьями 286, 287 Арбитражного процессуального кодекса Российской Федерации полномочий признал необходимость нового рассмотрения спора.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Степанову А.В.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