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20.01.2021, оставленным без изменения постановлениями Тринадцатого арбитражного апелляционного суда от 13.04.2021 и Арбитражного суда Северо-Западного округа от 19.07.2021, в удовлетворении заявленного требования отказано. В кассационной жалобе общество ставит вопрос об отмене принятых по делу судебных,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по налогам и сборам за период с 01.01.2014 по 31.12.2016 инспекцией вынесено решение о привлечении общества к ответственности за совершение налогового правонарушения, налогоплательщику доначислены налог на прибыль организаций, соответствующие суммы пени и штраф. Доначисление оспариваемым решением налогового органа налога на прибыль организаций связано с выводом о необоснованном отнесении обществом курсовых разниц, возникших в связи с выплатой дивидендов участнику - нерезиденту в иностранной валюте, на иную деятельность, не связанную с реализацией инвестиционного проекта. При этом в ходе проверки установлено, что с учетом удельного веса доходов от инвестиционной деятельности (99,99% в 2014 году, 99,78% в 2015 году и 92,22% в 2016 году) обществом получена прибыль и осуществлена выплата дивидендов исключительно из денежных средств, полученных от инвестиционной деятельности. Решением Управления Федеральной налоговой службы по Калининградской области от 13.05.2020 № 06-11/12584 решение инспекции оставлено без изменения. Оценив представленные в материалы дела доказательства, руководствуясь положениями статей 247, 248, 250, 252, 265, 270, 272, 288.1 Налогового кодекса Российской Федерации, Федерального закона от 10.12.2003 № 173-ФЗ «О валютном регулировании и валютном контроле», Федерального закона от 10.01.2006 № 16-ФЗ «Об Особой экономической зоне в Калининградской области и о внесении изменений в некоторые законодательные акты Российской Федерации», суды пришли к выводу о правомерности произведенного инспекцией перераспределения доходов (расходов) общества. Судебные инстанции исходили из того, что с учетом принятой обществом учетной политики для налогообложения суммы положительных и отрицательных курсовых разниц подлежат распределению пропорционально доле соответствующего дохода в суммарном объеме всех доходов. При исследовании обстоятельств дела установлено, что с учетом удельного веса доходов от инвестиционной деятельности налогоплательщиком получена прибыль и осуществлена выплата дивидендов исключительно из денежных средств, полученных от инвестиционной деятельности. Доводы жалобы повторяют позицию общества по делу, являлись предметом рассмотрения судов и получили исчерпывающую правовую оценку 3 исходя из соотнесения спорных доходов и расходов с осуществляемым обществом в рамках инвестиционного проекта видом деятельности.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«Проминфраструктура»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