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08.11.2021 с ходатайством о восстановлении срока. Заявитель указывает на пропуск срока на подачу жалобы в связи с объявлением на территории Российской Федерации в период с 30.10.2021 по 07.11.2021 нерабочих дней. Согласно статье 291.2 Арбитражного процессуального кодекса Российской Федерации кассационная жалоба подается в срок, не превышающий двух месяцев со дня вступления в силу последнего обжалуемого судебного акта, который может быть восстановлен при пропуске его по независящей от заявителя причине. Названная заявителем причина не создает основания для исчисления срока на подачу жалобы в ином, нежели предусмотрено статьей 291.2 Кодекса, порядке и не влечет восстановления срока, учитывая и то, что жалоба подается в электронном виде. Руководствуясь статьей 184, статьей 291.2, пунктом 3 части 1 статьи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Калмыковой Эмме Алексеевне в восстановлении срока подачи кассационной жалобы на определение Арбитражного суда города Санкт-Петербурга и Ленинградской области от 25.01.2021, постановление Тринадцатого арбитражного апелляционного суда от 18.05.2021 и постановление Арбитражного суда Северо-Западного округа от 03.09.2021 по делу № А56-146945/2018. Кассационную жалобу гражданки Калмыковой Эммы Алексеевны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