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08.11.2021 с ходатайством о восстановлении срока. Заявитель указывает, что не мог подать жалобу в установленный срок по объективным причинам. Согласно части 2 статьи 291.2 Арбитражного процессуального кодекса Российской Федерации срок подачи кассационной жалобы, пропущенный по причинам, не зависящим от лица, обратившегося с жалобой, в том числе в связи с отсутствием у него сведений об обжалуемом судебном акте, по ходатайству указанного лица может быть восстановлен судьей,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В соответствии с частью 2 статьи 117 Арбитражного процессуального кодекса Российской Федерации при подаче ходатайства за пределами шестимесячного срока восстановление срока на обжалование судебных актов не допускается. 2 Кондратьев А.В. подал ходатайство за пределами названного срока, поэтому срок восстановлению не подлежит. Учитывая подачу документов в электронном виде, жалоба не возвращается, а не рассматривается по существу.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Кондратьеву Андрею Владимировичу в восстановлении срока подачи кассационной жалобы на определение Арбитражного суда Республики Татарстан от 28.07.2020, постановление Одиннадцатого арбитражного апелляционного суда от 22.09.2020 и постановление Арбитражного суда Поволжского округа от 10.12.2020 по делу № А65-10346/2019. Кассационную жалобу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