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10.03.2021, оставленным без изменения постановлением Одиннадцатого арбитражного апелляционного суда от 18.05.2021, утвержден план реструктуризации долгов на условиях, одобренных собранием кредиторов от 29.01.2021. Арбитражный суд Поволжского округа постановлением от 21.07.2021 определение от 10.03.2021 и постановление Одиннадцатого арбитражного апелляционного суда от 18.05.2021 оставил без изменения. В кассационной жалобе публичное акционерное общество «Татфондбанк» просит об отмене судебных актов, ссылаясь на отсутствие согласия на неполное погашение долгов и неправильный расчет мораторных процентов.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Доводы о размере долга и мораторных процентов были рассмотрены и отклонены судом округа как не заявлявшиеся в судах первой и апелляционной инстанций, не получившие возражений заявителя на собрании кредиторов. На стадии кассационного производства эти доводы не создают оснований для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«Татфондбанк»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