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ноября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города Москвы от 11.02.2021, оставленным без изменения постановлением Девятого арбитражного апелляционного суда от 20.04.2021, в удовлетворении жалобы отказано. Арбитражный суд Московского округа постановлением от 19.07.2021 определение от 11.02.2021 и постановление Девятого арбитражного апелляционного суда от 20.04.2021 оставил без изменения. В кассационной жалобе Тихомирова В.Г. просит об отмене судебных актов, ссылаясь на ненадлежащее ведение финансовым управляющим реестра требований кредиторов, нарушение очередности удовлетворения требований, выплату себе вознаграждения до погашения требований.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2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применительно к доводам должника проверили действия финансового управляющего и установили внесение в реестр основанных на судебных актах требований, удовлетворение требований в соответствии с законной очередностью и отсутствие нарушения чьих-либо прав в процедурах банкротства должника, поэтому отказали в удовлетворении жалобы в силу статей 18.1, 20.3, 138, 213.27 Федерального закона от 26.10.2002 № 127-ФЗ «О несостоятельности (банкротстве)» и их судебного толкования.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гражданке Тихомировой В.Г.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