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03.12.2020, оставленным без изменения постановлением Девятого арбитражного апелляционного суда от 2 04.03.2021 и постановлением Арбитражного суда Московского округа от 12.07.2021, исковое заявление удовлетворено.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Арбитражного суда города Москвы от 28.04.2017 по делу № А40-16670/17-176-151, оставленным без изменения постановлением Девятого арбитражного апелляционного суда от 14.07.2017, с министерства в пользу общества взыскана задолженность по государственному контракту от 21.09.2015 № 5-ТХ по оплате тепловой энергии для нужд министерства и подведомственных министерству организаций в размере 382 999 рублей 65 копеек. Указанное решение вступило в законную силу и не исполнено министерством, что послужило основанием для начисления обществом неустойки. Претензия общества министерством не исполнена, в связи с чем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удовлетворения заявленных исковых требований, с чем согласился суд округа. Судебные инстанции исходили из доказанности обществом обстоятельств неисполнения взятых на себя обязательств, расчет неустойки проверен и признан верным. 3 Доводы, изложенные в кассационной жалобе, в том числе о том, что при рассмотрении дела № А40-16670/17-176-151 ответчику была предоставлена отсрочка его исполнения,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