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16.04.2021, оставленным без изменения постановлением Девятого арбитражного апелляционного суда от 16.06.2021, в удовлетворении заявления отказано. Арбитражный суд Московского округа постановлением от 25.08.2021 определение от 16.04.2021 и постановление апелляционного суда от 16.06.2021 оставил без изменения. В кассационной жалобе Чекулаев В.В. просит об отмене судебных актов, ссылаясь на игнорирование доказательств использования денежных средств на нужды семьи.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 судов о недоказанности расходования полученной от кредитора суммы на нужды семьи основан на обстоятельствах рассматриваемого спора, установленных в деле о банкротстве Трофимченко С.А. обстоятельствах и соответствует статьям 45 Семейного кодекса Российской Федерации, 213.8, 213.19, 213.24, 213.26 Федерального закона от 26.10.2002 № 127-ФЗ «О несостоятельности (банкротстве)» и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Чекулаеву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