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Нижегородской области от 02.12.2020, оставленным без изменения постановлением Первого арбитражного апелляционного суда от 06.04.2021 и постановлением Арбитражного суда Волго-Вятского округа от 15.07.2021, в удовлетворении заявления отказано. В кассационной жалобе Чернов Д.М. просит об отмене судебных актов, ссылаясь неполное исследование необходимых для разрешения спора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непричастность должника к оспариваемым денежным операциям, поэтому, признав их не попадающими под условия пункта 2 статьи 61.2 Федерального закона от 26.10.2002 № 127-ФЗ «О несостоятельности (банкротстве)» и статьи 10 Гражданского кодекса Российской Федерации, отказали в применении требуемых управляющим последствий.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Чернову Дмитрию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