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09.03.2021, оставленным без изменения постановлением Четырнадцатого арбитражного апелляционного суда от 26.05.2021 и постановлением Арбитражного суда Северо-Западного округа от 01.09.2021, заявление удовлетворено в части признания недействительным договора дарения гаражного бокса и применения последствий недействительности указанной сделки. В кассационной жалобе банк просит об отмене судебных актов в части отказа в удовлетворении заявления в отношении жилого дома и земельного участка, ссылаясь на игнорирование возможности обмена недвижимого имущества на менее роскошное жилье.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спорного имущества под исполнительский иммунитет,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Приведенные в рассматриваемой жалобе доводы получили правовую оценку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акционерного общества «Россельхозбанк»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