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Хабаровского края от 22.01.2021, оставленным без изменения постановлением Шестого арбитражного апелляционного суда от 29.03.2021 и постановлением Арбитражного суда Дальневосточного округа от 14.07.2021, иск удовлетворен. В кассационной жалобе пароходство просит об отмене судебных актов, ссылаясь на нарушение пределов рассмотрения дела, неосновательное неуменьшение неправильный расчет пеней.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Из установленных судами обстоятельств следует, что отправленные по заявленной накладной вагоны прибыли к месту назначения с просрочкой, что в силу статьи 97 Устава железнодорожного транспорта влечет взыскание неустойки. Критериев для применения статьи 333 Гражданского кодекса Российской Федерации судами не установлено.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открытому акционерному обществу «Сахалинское морское пароходство»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