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Орловской области от 12.11.2020, оставленным без изменения постановлением Девятнадцатого арбитражного апелляционного суда от 02.04.2021 и постановлением Арбитражного суда Центрального округа от 13.07.2021, в удовлетворении искового требования отказано.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предприниматель осуществляет деятельность по перевозке пассажиров по маршруту регулярных перевозок, в том числе лиц, включенных в федеральный и региональный регистры льготных категорий граждан, которым предоставлена льгота при оплате проезда. В целях обеспечения на территории Орловской области равной доступности транспортных услуг для отдельных категорий граждан, в отношении которых оказание мер социальной поддержки относится к ведению Российской Федерации и Орловской области, а также возмещения затрат организациям, осуществляющим перевозку граждан по единым социальным билетам, Правительством Орловской области принято постановление от 18.10.2010 № 365 (в редакции от 04.03.2020) «О едином социальном проездном билете в Орловской области» (далее постановление №365). Администрацией города и предпринимателем 23.05.2014 заключено соглашение № 85 о предоставлении субсидии с целью возмещения недополученных доходов в связи с осуществлением перевозок по месячным проездным билетам школьников, студентов и пенсионеров, имеющих трудовую пенсию по старости, зарегистрированных в городе Орле и не имеющих ежемесячной денежной выплаты из федерального или областного бюджетов за счет средств бюджета города Орла. За период с 01.12.2016 по 31.12.2017 сумма субсидии, перечисленной перевозчику с целью возмещения недополученных доходов в связи с осуществлением перевозок составила 973 778 рублей 06 копеек. Предпринимателем (перевозчик) и АО «Региональный информационный центр Орловской области» (далее - АО «РИЦ Орловской области», оператор) 01.08.2016 заключен договор о взаимодействии оператора и перевозчиков при обслуживании в транспортной системе проездных билетов «Для организаций», по условиям которого оператор обязался по поручению перевозчиков за вознаграждение совершить от своего имени и за счет перевозчиков юридические и фактические действия по продаже юридическим лицам проездных билетов «Для организаций», а полученные денежные средства распределить между перевозчиками пропорционально объему перевозок. 3 Во исполнение договорных обязательств оператором перечислены денежные средства за период с 01.12.2017 по 31.12.2017 в сумме 2 164 752 рублей 93 копеек. Таким образом, за период с 01.12.2016 по 31.12.2017 предприниматель получил от управления и АО «РИЦ Орловской области» денежные средства в общей сумме 3 138 530 рублей 99 копеек. Решением Орловского Совета народных депутатов от 03.02.2016 № 6/0082-ГС «О регулируемых тарифах на перевозки по муниципальным маршрутам регулярных перевозок города Орла» в период с декабря 2016 года по декабрь 2017 года установлен регулируемый тариф на перевозки по автобусным муниципальным маршрутам регулярных перевозок города Орла в размере 16 рублей. Считая, что в связи с осуществлением перевозок льготных категорий пассажиров по проездным билетам длительного пользования за период с 01.12.2016 по 31.12.2017 недополучил доход в размере 1 445 150 рублей 64 копеек, предприниматель обратился в арбитражный суд. Отказывая в иске, суды первой и апелляционной инстанций, оценив представленные в материалы дела доказательства, руководствуясь положениями Бюджетного кодекса Российской Федерации, Гражданского кодекса Российской Федерации, постановлением № 365, решением Орловского городского Совета народных депутатов от 08.12.2016 № 17/0381-ГС «О льготах для проезда по муниципальным маршрутам регулярных перевозок города Орла», учитывая разъяснения, изложенные в постановлении Пленума Высшего Арбитражного Суда Российской Федерации от 22.06.2006 № 23 «О некоторых вопросах применения арбитражными судами норм Бюджетного кодекса Российской Федерации», пришли к выводу о недоказанности предпринимателем наличия совокупности обстоятельств для привлечения управления к ответственности в виде взыскания убытков. Судебные инстанции установили, что муниципальное образование в полном объеме исполнило обязательства по возмещению недополученных доходов в связи с осуществлением перевозки льготной категории граждан, отметив, что истцом не представлено доказательств того, что утвержденный тариф на перевозку по муниципальным маршрутам регулярных перевозок, а также согласованная сторонами в договорах формула являются экономически необоснованными, положения договоров истцом не оспорены. Суды указали, что муниципальный контракт и соглашение не предполагали субсидирование в полном объеме недополученных истцом доходов от осуществления деятельности в сфере перевозки пассажиров; правом на корректировку расходов при установлении регулируемых тарифов в текущем периоде истец не воспользовался. Доводы, изложенные в кассационной жалобе, являлись предметом рассмотрения судов и им дана надлежащая правовая оценка. Приведенные доводы не свидетельствуют о существенных нарушениях норм материального и процессуального права, которые повлияли на исход дела, по существу, в связи с чем не могут служить основанием для передачи жалобы 4 на рассмотрение в судебном заседании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Буренко Александру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