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состояние, а также на то, что общество признано банкротом и в отношении него открыто конкурсное производство (по делу № А40-238628/2016). К ходатайству приложены сведения из Инспекции Федеральной налоговой службы N 9 по г. Москве об открытых (закрытых) счетах заявителя в кредитных организациях и справки кредитных организаций о состоянии расчетных счетов. Содержание 2 данных документов свидетельствует о невозможности исполнения обязанности по уплате государственной пошлины за рассмотрение кассационной жалобы.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Федеральному государственному унитарному предприятию «Ремонтно-строительное управление Министерства внутренних дел Российской Федерации» отсрочку уплаты государственной пошлины до окончания производства по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