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«Уральская логистическая группа» обратилось в Арбитражный суд Свердловской области с иском о взыскании с общества с ограниченной ответственностью «Элемент» 9 426 900 рублей штрафа за сверхнормативный простой вагонов по договору от 01.04.2018 № УЛГ/ЦС/214/18, а также 15 000 рублей расходов по оплате услуг представителя. Решением Арбитражного суда Свердловской области от 08.12.2020 иск удовлетворен, а также взысканы расходы по оплате услуг представителя. Постановлением Семнадцатого арбитражного апелляционного суда от 25.03.2021 решение суда первой инстанции оставлено без изменения. Арбитражный суд Уральского округа постановлением от 29.07.2021 указанные судебные акты оставил без изменения. Общество с ограниченной ответственностью «Элемент» обратилось в Судебную коллегию Верховного Суда Российской Федерации с кассационной 2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нарушение ответчиком условий договора и допущенный сверхнормативный простой вагонов, поданных истцом под погрузку (выгрузку), руководствуясь положениями статей 329, 330, 779, 781 Гражданского кодекса Российской Федерации, суды пришли к выводу о наличии оснований для привлечения ответчика к договорной ответственности в виде взыскания штрафа за сверхнормативный простой вагонов, не усмотрев оснований для снижения его размера ввиду отсутствия доказательств несоразмерности подлежащего взысканию штрафа последствиям нарушения обязательства в соответствии с положениями статьи 333 Гражданского кодекса Российской Федерации, разъяснениями, изложенными в пунктах 73, 75, 77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Несогласие заявителя кассационной жалобы с произведенной судами оценкой обстоятельств дела и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«Элемент»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