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«Сибмикс» (далее - общество) обратилось в Арбитражный суд Иркутской области с иском к индивидуальному предпринимателю Королеву Владимиру Александровичу об обязании предпринимателя Королева В.А. заключить с обществом договор на осуществление транзитного проезда по железнодорожному пути необщего пользования № 58 станции Нижнеудинск, протяженностью 448,5 м, с кадастровым номером 38:37:020412:716, расположенного по адресу: Иркутская область, г. Нижнеудинск, ул. Восточный проезд, 7. К участию в деле в качестве третьего лица, не заявляющего самостоятельных требований относительно предмета спора, привлечено открытое акционерное общество «Российские железные дороги». Решением Арбитражного суда Иркутской области от 17.12.2020 иск удовлетворен. Постановлением Четырнадцатого арбитражного апелляционного суда от 24.03.2021 решение суда первой инстанции оставлено без изменения. 2 Арбитражный суд Восточно-Сибирского округа постановлением от 26.07.2021 указанные судебные акты оставил без изменения. Индивидуальный предприниматель Королев Владимир Александрович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209, 420, 421, 426, пунктом 4 статьи 445 Гражданского кодекса Российской Федерации, статьями 1, 2, 60, 64 Федерального закона № 18-ФЗ от 10.01.2003 «Устав железнодорожного транспорта Российской Федерации», статьей 2 Федерального закона от 10.01.2003 № 17-ФЗ «О железнодорожном транспорте в Российской Федерации», пунктом 3 постановления Пленума Высшего Арбитражного Суда Российской Федерации от 06.10.2005 № 30 «О некоторых вопросах практики применения Федерального закона «Устав железнодорожного транспорта Российской Федерации» и исходили из того, что заключение договора на эксплуатацию железнодорожного пути необщего пользования для ответчика является обязательным, находящийся у истца в собственности железнодорожный путь примыкает к объекту железнодорожной инфраструктуры ответчика и его использование возможно только используя принадлежащий ответчику участок железнодорожного пути необщего пользования. При этом судами установлен факт уклонения ответчика от заключения договора, проверен представленный истцом текст договора на предмет соответствия его условий положениям действующего законодательства, размер платы за использование пути определен судом на основании экспертного заключения. 3 Доводы, изложенные в кассационной жалобе, о ненадлежащем способе защиты права и наличии разногласий сторон при заключении договора, а также возражения относительно размера платы за право проезда по участку пути необщего пользования приводились при рассмотрении дела, были рассмотрены судами и им дана надлежащая оценка.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Королеву Владимиру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