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02.11.2020, оставленным без изменения постановлением Девятого арбитражного апелляционного суда от 2 24.02.2021 и постановлением Арбитражного суда Московского округа от 15.07.2021, в удовлетворении иска отказано.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 оснований для удовлетворения жалобы не установлено. Оценив представленные в дело доказательства, руководствуясь положениями Гражданского кодекса Российской Федерации, Закона Российской Федерации от 27.11.1992 № 4015-1 «Об организации страхового дела в Российской Федерации», суды отказали в иске, указав, что событие, предусмотренное договором страхования, на случай наступления которого производится страхование, не наступило. При этом суды исходили из отсутствия возможности идентифицировать застрахованное транспортное средство с похищенным. Доводы заявителя жалобы сводятся к несогласию с выводами судов об установленных фактических обстоятельствах и иной оценке доказательств, что не является основанием для пересмотра обжалуемых судебных актов в кассационном порядке.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