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28.12.2020, оставленным без изменения постановлениями Тринадцатого арбитражного апелляционного суда от 12.04.2021 и Арбитражного суда Северо-Западного округа от 29.07.2021, исковые требования удовлетворены. 2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(подрядчик) заключен муниципальный контракт на выполнение работ по содержанию и ремонту детских игровых и спортивных площадок в городе Калининграде в 2018 году, в том числе по сбору и вывозу мусора. В обоснование иска учреждение ссылается на то, что по результатам проверки по вопросу целевого, правомерного и эффективного использования бюджетных средств при выполнении работ в рамках контракта установлены неправомерное использование денежных средств в виде оплаты невыполненных обществом работ, а также оплата подрядчику некачественно выполненных работ. Оценив представленные в материалы дела доказательства, в том числе заключение судебной строительно-технической экспертизы, суды, руководствуясь положениями статей 309, 310, 702, 711, 720, 753, 1102, 1103 Гражданского кодекса Российской Федерации, с учетом правовой позиции, выраженной в пункте 12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пришли к выводу о наличии оснований для удовлетворения иска. При этом судебные инстанции исходили из завышения подрядчиком объема работ при исполнении контракта, что повлекло возникновение на его стороне неосновательного обогащения в размере стоимости фактически не выполненных работ, а также из некачественного выполнения обществом работ. Обстоятельства данного спора и представленные доказательства были предметом оценки судов. Доводы кассационной жалобы не подтверждают существенных нарушений норм материального права и норм процессуального права, повлиявших на исход дела, по существу направлены на переоценку доказательств по делу и установленных фактических обстоятельств, что не входит в полномочия суда 3 при кассационном производстве.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«СавГрад»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