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29.01.2021, оставленным без изменения постановлением Девятого арбитражного апелляционного суда 2 от 13.04.2021, оспариваемое постановление изменено в части назначенного наказания, штраф снижен до 100 000 рублей. Постановлением Арбитражного суда Московского округа от 14.07.2021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суд с соответствующим заявлением послужил выявленный административным органом факт неисполнения обществом в установленный срок предписания органа, осуществляющего региональный государственный контроль (надзор) в области долевого строительства многоквартирных домов. Оценив представленные доказательства, руководствуясь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суды пришли к выводу о наличии в действиях общества состава правонарушения по части 4 статьи 19.5 Кодекса Российской Федерации об административных правонарушениях. Доказательств того, что обществом были приняты все зависящие от него меры по соблюдению требований правил и норм, за нарушение которых предусмотрена административная ответственность, судами не установлено. Доводы жалобы направлены на переоценку доказательств и установление иных фактических обстоятельств дела, связанных с наличием (отсутствием) вины в неисполнении предписания, что не отнесено к полномочиям Судебной коллегии Верховного Суда Российской Федерации.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