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28.01.2021, оставленным без изменения постановлением Пятнадцатого арбитражного апелляционного суда от 16.04.2021 и постановлением Арбитражного суда Северо-Кавказского округа от 15.07.2021, первоначальные исковые требования удовлетворены частично: с общества в пользу компании взыскано 4 655 702 руб. 16 коп. неосновательного обогащения, 3 678 077 руб. 28 коп. пеней, 204 105 руб. 06 коп. процентов за пользование чужими денежными средствами, 6973 руб. 81 коп. расходов за электроэнергию, 4 655 702 руб. 16 коп. процентов, начисленных на сумму долга в размере ключевой ставки Банка России, действующей в соответствующие периоды просрочки, за период с 20.02.2020 до момента фактической уплаты указанной суммы долга; в удовлетворении остальной части первоначальных исковых требований и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общество (субподрядчик) нарушило сроки выполнения работ по спорным договорам в отсутствие объективных причин, в связи с чем признали правомерным односторонний отказ компании (генеральный подрядчик) от их исполнения. Исходя из подтвержденности факта перечисления генеральным подрядчиком в пользу субподрядчика денежных средств по договорам и отсутствия доказательств выполнения последним работ на большую сумму, чем признано компанией, как и доказательств приостановления обществом работ, невозможности их выполнения 3 по предоставленной ему проектной документации и согласования дополнительных работ с компанией, руководствуясь статьями 15, 309, 310, 329, 330, 395, 453, 702, 708, 709, 715, 740, 743, 753, 1102 Гражданского кодекса Российской Федерации, суды пришли к выводу о наличии оснований для частичного удовлетворения первоначальных исковых требований и отказа в удовлетворении встречного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«Технический заказчик»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