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16.06.2020, оставленным без изменения постановлением Седьмого арбитражного апелляционного суда от 14.10.2020, требования удовлетворены, оспариваемое 2 решение фонда признано недействительным, на фонд в лице филиала № 2 возложена обязанность устранить допущенные нарушения прав и законных интересов общества в течение 10 дней с даты вступления решения в законную силу. Общество обратилось в арбитражный суд с заявлением к филиалу № 2 фонда о взыскании судебных расходов в размере 127 700 рублей, связанных с оплатой услуг представителя. Определением Арбитражного суда Кемеровской области от 16.02.2021, оставленным без изменения постановлением Седьмого арбитражного апелляционного суда от 27.04.2021, заявленные требования удовлетворены. Постановлением Арбитражного суда Западно-Сибирского округа от 14.07.2021 указанные судебные акты отменены в части взыскания с филиала № 2 фонда в пользу общества судебных расходов в сумме 50 200 рублей, в указанной части в удовлетворении требований отказано, в остальной части судебные акты оставлены без изменения. Общество в кассационной жалобе просит отменить постановление суда округа, оставить в силе судебные акты судов первой и апелляционной инстанций.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 Суд округа, руководствуясь положениями статей 101, 106, 110, 111, 112 Арбитражного процессуального кодекса Российской Федерации, правовыми позициями, изложенными Пленумом Верховного Суда Российской Федерации в постановлении от 21.01.2016 № 1 «О некоторых вопросах применения законодательства о возмещении издержек, связанных с рассмотрением дела», Президиумом Высшего Арбитражного Суда Российской Федерации в информационном письме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отменил решение суда первой инстанции и постановление суда апелляционной инстанции в части взыскания 50 200 рублей судебных расходов, в удовлетворении требований в указанной части отказал, признав, что взыскание спорной части заявленных расходов не соответствует вышеуказанным нормам процессуального законодательства с учетом предъявляемых ими требований разумности, обоснованности и документальной подтвержденности. Оснований для иных выводов, исходя из доводов жалобы, не имеется. Существенных нарушений норм процессуального права, повлиявших на исход судебного разбирательства, судом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