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Костромской области от 14.01.2021, оставленным без изменения постановлением Второго арбитражного апелляционного суда от 01.04.2021, в удовлетворении требования отказано. 2 Постановлением Арбитражного суда Волго-Вятского округа от 13.07.2021 указанные судебные акты оставлены без изменения. Общество просит обжалуемые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Частью 1 статьи 14.43 Кодекса Российской Федерации об административных правонарушениях установлена административная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названного Кодекса. Ответственность за совершение вышеперечисленных действий, повлекших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создавших угрозу причинения вреда жизни или здоровью граждан, окружающей среде, жизни или здоровью животных и растений, предусмотрена частью 2 статьи 14.43 Кодекса Российской Федерации об административных правонарушениях. Оценив представленные доказательства, руководствуясь положениями Федерального закона от 02.01.2000 № 29-ФЗ «О качестве и безопасности пищевой продукции», Технического регламента Таможенного союза ТР ТС 3 021/2011 «О безопасности пищевой продукции», Технического регламента Таможенного союза ТР ТС 034/2013 «О безопасности мяса и мясной продукции», Технического регламента Таможенного союза ТР ТС 033/2013 «О безопасности молока и молочной продукции», суды пришли к выводу о наличии в действиях общества состава правонарушения, ответственность за которое предусмотрена частью 2 статьи 14.43 Кодекса Российской Федерации об административных правонарушениях, установив факт реализации в магазине общества пищевой продукции с истекшим сроком годности, а также испорченной продукции. Доказательства невозможности соблюдения установленных законом правил и норм в силу чрезвычайных и иных непредвиденных обстоятельств, которые общество не могло предусмотреть, при соблюдении той степени заботливости и осмотрительности, которая от него требовалась, не выявлено. Суды установили, что процедура и срок давности привлечения к административной ответственности соблюдены. При этом суды признали, что административный орган на момент рассмотрения дела об административном правонарушении обладал доказательствами надлежащего извещения лица, в отношении которого ведется производство по делу об административном правонарушении, административным органом были предприняты необходимые и достаточные меры по надлежащему уведомлению общества о месте и времени рассмотрения дела в целях обеспечения указанному лицу возможности реализовать права и гарантии, предусмотренные Кодексом Российской Федерации об административных правонарушениях. При этом в нарушение принципа добросовестности лицо, по ходатайству которого было отложено рассмотрение дела об административном правонарушении, не обеспечило надлежащего получения корреспонденции по юридическому адресу. 4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