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22.01.2021, оставленным без изменения постановлением Тринадцатого арбитражного апелляционного суда от 12.04.2021 2 и постановлением Арбитражного суда Северо-Западного округа от 19.07.2021, первоначальный иск удовлетворен, в удовлетворении встречных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компания (заказчик) во исполнение условий спорного договора перечислила обществу (исполнитель) денежные средства в заявленном размере, при этом доказательства надлежащего оказания последним услуг по договору до его расторжения заказчиком отсутствуют, руководствуясь статьями 309, 310, 421, 431, 450.1, 453, 779, 781, 782, 1102 Гражданского кодекса Российской Федерации, разъяснениями, изложенными в постановлении Пленума Высшего Арбитражного Суда Российской Федерации от 11.01.2000 № 49 «Обзор практики рассмотрения споров, связанных с применением нории о неосновательном обогащении», суды первой и апелляционной инстанции пришли к выводу о наличии оснований для удовлетворения первоначального иска и отказа в удовлетворении встречных требований. С указанными выводами впоследствии согласился суд округа, не установив при этом нарушения апелляционным судом норм процессуального права, которые могли бы явиться основанием для отмены судебного акта. 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«МВВ-БРОКЕР»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