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29.03.2021, оставленным без изменения постановлением Четвертого арбитражного апелляционного суда от 23.06.2021, с общества в пользу предприятия взыскано 1 717 681 руб. неосновательного обогащения, 211 684 руб. 18 коп. процентов за пользование чужими денежными средствами и проценты по день фактической оплаты долга, в удовлетворении остальной части исковых требований отказано. Постановлением Арбитражного суда Восточно-Сибирского округа от 16.06.2021 решение суда первой инстанции и постановление суда апелляционной инстанции отменены, дело направлено на новое рассмотрение в Арбитражный суд Республики Бурятия. 2 В кассационной жалобе, поданной в Верховный Суд Российской Федерации, предприятие, ссылаясь на незаконность указанных судебных актов, просит их отменить и принять по делу новый судебный акт об удовлетворении исковых требований. Поскольку решение суда первой инстанции и постановление суда апелляционной инстанции отменены постановлением суда округа, жалоба в указанной части беспредметна.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неправильно применили нормы права при определении размера взыскиваемых сумм и неполно исследовали обстоятельства, имеющие существенное значение для разрешения спора.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«Администрация гражданских аэропортов (аэродромов)»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