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третьего лица, не заявляющего самостоятельных требований относительно предмета спора, привлечено федеральное государственное унитарное предприятие «Главный радиочастотный центр» в лице филиала в Приволжском федеральном округе. 2 Решением Арбитражного суда Ульяновской области от 17.02.2021, оставленным без изменения постановлением Одиннадцатого арбитражного апелляционного суда от 28.04.2021, в удовлетворении заявления отказано. Постановлением Арбитражного суда Поволжского округа от 01.09.2021 указанные судебные акты оставлены без изменения. Предприятие в кассационной жалобе просит указанные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статьей 11 Закона от 11.03.1992 № 2487-1 «О частной детективной и охранной деятельности в Российской Федерации», подпунктом «а» пункта 8(1) Положения о лицензировании частной охранной деятельности, утвержденного постановлением Правительства Российской Федерации от 23.06.2011 № 498, пунктом 1 Перечня объектов, на которые частная охранная деятельность не распространяется, утвержденного постановлением Правительства Российской Федерации от 14.08.1992 № 587, Положением о Федеральной службе по надзору в сфере связи, информационных технологий и массовых коммуникаций, утвержденным постановлением Правительства РФ от 16.03.2009 № 228, суды пришли к выводу о наличии в действиях общества состава административного правонарушения, ответственность за которое предусмотрена частью 4 статьи 14.1 Кодекса Российской Федерации об административных правонарушениях, однако отказали в удовлетворении заявления о привлечении к административной ответственности, поскольку срок давности привлечения к административной ответственности истек. При этом суды признали, что закрепление объекта охраны на праве хозяйственного ведения само по себе не влечет изменения режима охраны, предусмотренного для объекта, используемого федеральным органом 3 исполнительной власти. Указанные выводы судов, исходя из доводов жалобы, не опровергнуты.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