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Добычин Ю.Г. обратился в суд с заявлением о взыскании 1 663 922 рублей 11 копеек вознаграждения, судебных расходов. Определением Арбитражного суда Владимирской области от 25.03.2021, оставленным без изменения постановлениями арбитражного апелляционного суда от 31.05.2021 и Арбитражного суда Волго-Вятского округа от 06.09.2021, заявление удовлетворено в части взыскания с должника в пользу заявителя 870 854 рублей 16 копеек вознаграждения за ведение процедуры конкурсного производства, 224 331 рубля 75 копеек судебных расходов по делу о банкротстве, 3 976 рублей 50 копеек судебных издержек;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уменьшения размера причитающегося ему вознаграждения на сумму 191 145 рублей 78 копеек и взыскать данную сумму в его пользу.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20.6, 59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установив, что привлечение должника к ответственности за совершение налогового правонарушения пришлось на период исполнения заявителем обязанностей конкурсного управляющего и сопряжено с ненадлежащим исполнением им своих обязанностей, снизили размер причитающегося ему вознаграждения соразмерно последствиям допущенных нарушений.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Добычину Юрию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