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13.10.2020, оставленным без изменения постановлением Десятого арбитражного апелляционного суда от 08.12.2020 , в удовлетворении заявленного требования отказано. Постановлением Арбитражного суда Московского округа от 14.07.2021 указанные судебные акты оставлены без изменения. В жалобе Сорокин Д.А. просит отменить принятые по делу судебные акты, ссылаясь на неправильное применение судами норм материального и процессуального права. Между тем, в соответствии с частью 1 статьи 291.1, частью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Таким образом, учитывая положения части 1 статьи 4.5 Кодекса Российской Федерации об административных правонарушениях относительно срока давности привлечения к административной ответственности по данной 3 категории дел, передача кассационной жалобы в Судебную коллегию Верховного Суда Российской Федерации не приведет к защите прав и законных интересов заявителя.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