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Козлов Е.Ю. обратился в суд с заявлением о включении в реестр требований кредиторов должника (далее – реестр) его требования в размере 49 751 103 рубля 20 копеек. Определением Арбитражного суда Новосибирской области от 22.05.2019, оставленным без изменения постановлением Седьмого арбитражного апелляционного суда от 25.07.2019, заявление удовлетворено. Постановлением Арбитражного суда Западно-Сибирского округа от 05.03.2020 данные судебные акты отменены, обособленный спор направлен на новое рассмотрение в Арбитражный суд Новосибирской области. Определением Арбитражного суда Новосибирской области от 30.09.2020 для совместного рассмотрения с требованием Козлова Е.Ю. объединено заявления общества ограниченной ответственностью «Нано Финанс» о признании недействительными сделками: соглашения о переводе долга от 01.03.2011, подписанного между акционерным обществом ФСК «Новосибирская», обществами с ограниченной ответственностью ПИК «ССК» и СМК «Электро-Стиль»; соглашения о зачёте от 22.09.2011, подписанного между обществами ФСК «Новосибирская» и СМК «Электро-Стиль»; дополнительного соглашения от 23.12.2013 № 1 к договору об участии в долевом строительстве от 20.06.2012 № 9, дополнительного соглашения № 1 к договору об участии в долевом строительстве от 25.06.2012 № 10; актов приёма-передачи векселей от 20.12.2013. 2 При новом рассмотрении определением Арбитражного суда Новосибирской области от 17.12.2020 требование Козлова Е.Ю. в размере 13 058 530 рублей основного долга и 10 530 431 рубль 92 копейки процентов за пользование денежными средствами включено в третью очередь реестра как обеспеченное залогом имущества должника; требование Козлова Е.Ю. в размере 3 579 245 рублей основного долга и 933 081 рубль 66 копеек процентов за пользование денежными средствами субординировано; в остальной части в удовлетворении требования Козлова Е.Ю. отказано. Заявление общества «Нано Финанс» удовлетворено полностью. Постановлением Седьмого арбитражного апелляционного суда от 26.03.2021 определение суда первой инстанции от 17.12.2020 в части включения в реестр обеспеченного залогом требования основного долга в размере 13 058 530 рублей отменено, в отмененной части принят новый судебный акт о субординировании данного требования и отказе в признании обоснованным требования в размере 10 530 431 рубль 92 копейки процентов за пользование денежными средствами; в остальной части определение суда первой инстанции от 17.12.2020 оставлено без изменения. Постановлением Арбитражного суда Западно-Сибирского округа от 21.07.2021 принятые на новом рассмотрении судебные акты первой и апелляционной инстанции в части отказа в удовлетворении оставшейся части требования Козлова Е.Ю. и в части удовлетворения заявления общества «Нано Финанс» отменены, в отменённой части обособленный спор направлен на новое рассмотрение в Арбитражный суд Новосибирской области. В остальной части определение суда первой инстанции от 17.12.2020 и постановление апелляционного суда от 26.03.2021оставлены без изменения. В кассационной жалобе, поданной в Верховный Суд Российской Федерации, заявитель просит отменить названные постановления судов апелляционной инстанции и округа в части субординирования его требования в размере 13 058 530 рублей и отказа в признании обоснованным требования в размере 10 530 431 рубль 92 копейки процентов за пользование денежными средствами, оставить в силе определение суда первой инстанции в данной части. Кроме того, в поданной жалобе заявитель просит изменить принятое на новом рассмотрении определение суда первой инстанции в части субординирования его требования в размере 3 579 245 рублей основного долга и 933 081 рубля 66 копеек процентов за пользование денежными средствами, включив данное требование в третью очередь реестра как обеспеченное залогом имущества должника. 07.11.2021 и 08.11.2021 от конкурсного управляющего должником Тюрина Антона Евгеньевича и общества «Нано Финанс» поступили отзывы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3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отзывов таких оснований не установлено. Разрешая спор в обжалуемой части, суды, руководствуясь статьями 10, 58, 384 Гражданского кодекса Российской Федерации, пунктом 3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предоставивший компенсационное финансирование в условиях осведомлённости об имущественном кризисе заявитель (акционер) обладал возможностью контролировать деятельность должника, заявил об обеспеченности залогом своего требования после закрытия реестра, а также злоупотребил правом при возникновении и наращивании требования о процентах за пользование денежными средствами.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Евгению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