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17.02.2021, оставленным без изменения постановлениями Пятого арбитражного апелляционного суда от 05.05.2021 и Арбитражного суда Дальневосточного округа от 14.07.2021,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муниципальным казенным учреждением «Управление информационно-финансового обеспечения земельными ресурсами» обнаружены отдельно стоящие рекламные конструкции, на которых изображен логотип и фирменное наименование «Первый Семейный», а также стрелкой указано направление движения и расстояние до указываемого объекта, в связи с чем департаментом в адрес общества с ограниченной ответственностью «Первая Розничная компания» (управляющая организация общества) выдано предписание от 10.12.2020 № 6021-014/02 о демонтаже спорных рекламных конструкций, невключенных в Схему размещения рекламных конструкций на территории городского округа «Город Южно-Сахалинск», утвержденную постановлением администрации города Южно-Сахалинска от 21.03.2016 № 698. Общество, не согласившись с указанным предписанием, считая его не соответствующим закону и нарушающим его права и интересы, обратилось в арбитражный суд. Исследовав и оценив представленные в материалы дела доказательства, руководствуясь положениями статьи 1538 Гражданского кодекса Российской Федерации, статей 3, 19 Федерального закона от 13.03.2006 № 38-ФЗ «О рекламе», правовой позицией, изложенной в пункте 2 постановления Пленума Высшего Арбитражного Суда Российской Федерации от 08.10.2012 № 58 «О некоторых вопросах практики применения арбитражными судами Федерального закона «О рекламе», суды пришли к выводу об отсутствии оснований для удовлетворения заявленных требований. Судебные инстанции исходили как из законности действий департамента по выдаче оспариваемого предписания, так и самого предписания. При исследовании обстоятельств дела установлено, что размещенная информация направлена на привлечение внимания к торговому объекту общества с целью формирования и поддержания интереса к предоставляемым 3 услугам, является рекламной, при этом размещена без соответствующего разрешения. Приведенные в кассационной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«СоюзСахалин»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