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24.12.2020, оставленным без изменения постановлениями Двадцать первого арбитражного апелляционного суда от 05.05.2021 и Арбитражного суда Центрального округа от 04.08.2021, в удовлетворении иска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контракт на выполнение работ по капитальному строительству объекта. Подрядчиком предложено заказчику заключить дополнительное соглашение к контракту об изменении сроков сдачи объекта и ввода его в эксплуатацию, от подписания которого заказчик отказался. Полагая, что невозможность выполнения обязательств по контракту к установленному сроку обусловлена обстоятельствами, независящими от сторон, общество обратилось в арбитражный суд. Исследовав и оценив представленные в материалы дела доказательства, суды, руководствуясь положениями статей 432, 450, 451, 708, 763, 766, 767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9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от 28.06.2017, Обзоре судебной практики Верховного Суда Российской Федерации № 2 (2021), утвержденном Президиумом Верховного Суда Российской Федерации 30.06.2021, пришли к выводу об отсутствии оснований для удовлетворения иска. Судебные инстанции исходили из того, что действующее законодательство о контрактной системе не предусматривает право подрядчика требовать 3 понуждения заказчика к изменению условий контракта в части сроков выполнения работ.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«Грозгражданстрой»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