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23.12.2020, оставленным без изменения постановлением Восьмого арбитражного апелляционного суда от 17.02.2021 и постановлением Арбитражного суда Западно-Сибирского округа от 05.07.2021, заявление общества с ограниченной ответственностью «Арбитръ» (кредитор) о признании Шкурченко В.В. банкротом признано обоснованным, в отношении должника введена процедура реструктуризации долгов гражданина, требование общества «Арбитръ» включено в третью очередь реестра кредиторов должника, утвержден финансовый управляющий. В кассационной жалобе Шкурченко В.В. просит об отмене судебных актов, ссылаясь на пропуск срока исковой давности в отношении заявленного кредитором требования.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требование кредитора основано на неисполненном должником решении суда, попадает под признаки статей 213.3, 213.6 Федерального закона от 26.10.2002 № 127-ФЗ «О несостоятельности (банкротстве)» и влечет примененные последствия. К требованию, подтвержденному судебным актом, исковая давность не применяется и довод о ней не имеет отношения к рассматриваемому заявлению.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Шкурченко Вадиму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