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01.11.2021 с ходатайством о восстановлении срока. Предприниматель просит восстановить срок, указывая, что им устранены недостатки, послужившие основанием для возвращения дважды Судом ранее поданных жалоб. Согласно статье 291.2 Арбитражного процессуального кодекса Российской Федерации кассационная жалоба подается не позднее двух месяцев со дня вступления в силу последнего обжалуемого судебного акта, и этот срок может быть восстановлен при пропуске его по причинам, не зависящим от лица, обратившегося с такой жалобой. Предприниматель не обосновывает обстоятельств, воспрепятствовавших своевременной подаче надлежаще оформленной жалобы, а суд не усматривает обстоятельств, влекущих восстановление срока, поэтому ходатайство удовлетворению не подлежит. 2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Замятину Александру Сергеевичу в восстановлении срока подачи кассационной жалобы на решение Арбитражного суда Свердловской области от 30.09.2020 по делу № А60-28085/2020, постановление Семнадцатого арбитражного апелляционного суда от 05.02.2021 и постановление Арбитражного суда Уральского округа от 18.06.2021 по тому же делу. Кассационную жалобу не рассматривать по существу.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