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03.11.2021 с ходатайством о восстановлении срока. Заявитель просит восстановить срок в связи с публикацией 03.09.2021 полного текста постановления окружного суда от 02.09.2021, а также необходимостью соблюдения ограничительных мер.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 и этот срок может быть восстановлен при пропуске его по причинам, не зависящим от лица, обратившегося с такой жалобой.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2 Названные причины не носят объективного характера, в том числе при выбранном заявителем электронном способе подачи жалобы, поэтому в связи с ними срок восстановлению не подлежит. Кассационная жалоба не возвращается как поданная в электронной форме, а не рассматривается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«Инновации в строительстве» в восстановлении срока подачи кассационной жалобы на определение Арбитражного суда Камчатского края от 05.03.2021, постановление Пятого арбитражного апелляционного суда от 31.05.2021 и постановление Арбитражного суда Дальневосточного округа от 02.09.2021 по делу № А24-2434/2018.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