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09.03.2021, оставленным без изменения постановлением Четвертого арбитражного апелляционного суда от 24.05.2021 и постановлением Арбитражного суда Восточно-Сибирского округа от 19.08.2021,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отсутствие доказательств выполнения обществом работ и передачи учреждению их результата надлежащего качества на заявленную сумму, руководствуясь статьями 309, 310, 432, 450, 450.1, 453, 702, 708, 709, 711, 715, 720, 721, 723, 740, 743, 746, 753, 754, 763, 766, 767, 768, 1102 Гражданского кодекса Российской Федерации, статьями 34, 94,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первой и апелляционной инстанций не усмотрели оснований для удовлетворения исковых требований, с чем впоследствии согласился суд округа.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производственно-строительная компания «Геллион»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