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10.03.2021 в удовлетворении иска отказано. Постановлением Девятого арбитражного апелляционного суда от 01.07.2021 принят отказ общества от иска в части взыскания 5 440 752 руб. 26 коп., решение суда первой инстанции в указанной части отменено, производство по делу прекращено; в остальной части решение суда оставлено без изменения. Постановлением Арбитражного суда Московского округа от 26.08.2021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процессуального права, просит отменить указанные судебные акты и направить дело на новое рассмотрение в Арбитражный суд города Москвы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Разрешая спор и отказывая в удовлетворении иска, суд первой инстанции, с выводами которого согласились суды апелляционной инстанции и округа, исследовав и оценив по правилам главы 7 Арбитражного процессуального кодекса Российской Федерации представленные в материалы дела доказательства, исходил из недоказанности обществом обстоятельств, положенных в основу требования о взыскании задолженности. Доводы заявителя о нарушении судами первой и апелляционной инстанций норм процессуального права, выразившегося в отказе в удовлетворении его ходатайств о приобщении к материалам дела дополнительных доказательств, были предметом рассмотрения суда округа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«ТФМ-Транс»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