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03.03.2021, оставленным без изменения постановлением Девятого арбитражного апелляционного суда от 19.05.2021 и постановлением Арбитражного суда Московского округа от 10.08.2021, иск удовлетворен частично. В кассационной жалобе общество «УРАЛТРАНССЕРВИС» просит о пересмотре судебных актов, ссылаясь на неприменение к спорным правоотношениям законной ответственности за сверхнормативное использование вагонов.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с учетом статуса истца в перевозочном процессе и в соответствии с согласованным сторонами в договоре о от 05.07.2017 № ТЭ-07/02-17 сроком оборота вагонов признали за истцом право на применение ответственности в силу части 6 статьи 62 Федерального закона от 10.01.2003 № 18-ФЗ «Устав железнодорожного транспорта Российской Федерации». Судебные акты соответствуют договору, статьям 62, 99, 100 Устава и судебной практике их применения.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«УРАЛТРАНССЕРВИС»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"Совфрахт" (подробнее) Ответчики: ООО "УралТрансСервис"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