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19.03.2021, оставленным без изменения постановлениями Девятого арбитражного апелляционного суда от 11.06.2021 и Арбитражного суда Московского округа от 03.08.2021, возвращено заявление Крымцова Ю.А. о пересмотре по вновь открывшимся обстоятельствам решения от 24.01.2018.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доводов кассационной жалобы таких оснований не установлено. Возвращая заявление, суд первой инстанции руководствовался статьями 311, 313, 315 Арбитражного процессуального кодекса Российской Федерации и исходил из несоблюдения требований, предъявляемых к форме и содержанию заявления о пересмотре судебного акта. Проверяя обоснованность возврата заявления, суды апелляционной инстанции и округа не установили нарушений норм процессуального права и согласились с выводами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