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«ЛИНКОМ-1» (далее - общество)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Федерации, об обязании публичного акционерного общества «Сбербанк России» (далее – банк) денежные средства в размере 906 376 руб. 71 коп., списанные им с расчетного счета № 40702810638210100606, открытого для общества, в порядке исполнения платежных поручений последнего, перечислить на расчетный счет № 40101810045250010041 для Департамента городского имущества города Москвы (далее – департамент) во исполнение обязательства по оплате арендных платежей за период с 01.04.2018 по 01.08.2018 и с 01.09.2019 по 01.12.2019, вытекающего из договора аренды от 08.07.2005 № 09-00396/05, заключенного между обществом и департаментом; взыскании с банка в пользу общества 47 903 руб. 29 коп. процентов за пользование чужими денежными средствами, 13 964 руб. 55 коп. убытков, возникших в связи с неисполнением 2 основного обязательства по исполнению договора банковского счета и распоряжений общества, направленных в банк в виде платежных поручений; признании надлежащим исполнением обязательств общества перед департаментом в размере арендной платы за март 2018 года в сумме 72 801 руб. 34 коп., вытекающего из договора аренды от 08.07.2005 № 09-00396/05, заключенного между обществом и департаментом. Определением Арбитражного суда города Москвы от 01.03.2021, оставленным без изменения постановлением Девятого арбитражного апелляционного суда от 18.05.2021 и постановлением Арбитражного суда Московского округа от 12.08.2021, производство по настоящему делу приостановлено до вступления в законную силу судебных актов по делам №№ А40-26477/2019, А40-60669/2020.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для рассмотрения по существу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кассационной жалобы не установлено. Оценив представленные в материалы дела доказательства по правилам статьи 71 Арбитражного процессуального кодекса Российской Федерации, суд первой инстанции, руководствуясь положениями 143 Арбитражного процессуального кодекса Российской Федерации, признав, что обстоятельства, установленные при рассмотрении дел №№ А40-26477/2019, А40-60669/2020, будут иметь правовое значение для разрешения настоящего спора, приостановил производство по делу с целью исключения риска принятия противоречащих друг другу судебных актов. Суды апелляционной инстанции и округа поддержали выводы суда первой инстанции. Доводы кассационной жалобы не опровергают выводы судов, не подтверждают существенных нарушений норм права, повлиявших на исход дела, и не являются достаточным основанием для пересмотра обжалуемых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«ЛИНКОМ-1»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