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24.02.2021, оставленным без изменения постановлением Девятого арбитражного апелляционного суда от 21.04.2021 и постановлением Арбитражного суда Московского округа от 09.07.2021, исковые требования удовлетворены. В кассационной жалобе, поданной в Верховный Суд Российской Федерации, организация,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постановлением Девятого арбитражного апелляционного суда от 17.07.2020 по делу № А40-214910/2019, руководствуясь статьями 380, 381, 395, 429, 431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исходя из отсутствия доказательств исполнения организацией обязательств, предусмотренных условиями предварительного договора купли-продажи. Суд округа согласился с выводами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общероссийской общественно- государственной организации «Добровольное общество содействия армии, авиации и флоту России»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