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18.12.2020, оставленным без изменения постановлением Девятого арбитражного апелляционного суда от 05.04.2021, в удовлетворении требований отказано. Постановлением Арбитражного суда Московского округа от 22.07.2021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В соответствии с частью 2 статьи 14.32 Кодекса Российской Федерации об административных правонарушениях заключение хозяйствующим субъектом недопустимого в соответствии с антимонопольным законодательством Российской Федерации соглашения, если такое соглашение приводит или может привести к повышению, снижению или поддержанию цен на торгах, либо заключение недопустимого в соответствии с антимонопольным законодательством Российской Федерации соглашения между организаторами торгов и (или) заказчиками с участниками этих торгов, если такое соглашение имеет своей целью либо приводит или может привести к ограничению конкуренции и (или) созданию преимущественных условий для каких-либо участников, либо участие в них, влечет наложение административного штрафа на юридических лиц - от одной десятой до одной второй начальной стоимости предмета торгов, но не более одной двадцать пятой совокупного размера суммы выручки правонарушителя от реализации всех товаров (работ, услуг) и не менее ста тысяч рублей. Оценив представленные доказательства и признав доказанным антимонопольным органом факт заключения обществом и рядом хозяйствующих субъектов устного соглашения, которое могло привести к поддержанию цен на торгах, руководствуясь положениями Федерального закона от 26.07.2006 № 135-ФЗ «О защите конкуренции»,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Основания для применения статей 2.9 и 4.1.1 Кодекса Российской Федерации об административных правонарушениях, а также положений части 3.2 статьи 4.1 Кодекса Российской Федерации об административных правонарушениях и снижения размера штрафа судами не выявлено. Доводы жалобы о необходимости ограничения верхнего предела штрафных санкций в соответствии с требованиями статьи 3.5 Кодекса Российской Федерации об административных правонарушениях со ссылкой на сумму выручки за 2019 год, не соответствуют правовой позиции, изложенной в Определении Конституционного Суда Российской Федерации от 02.12.2013 № 1909-О. В то же время данных о том, что с учетом суммы выручки за 2018 год штраф превысит верхний предел штрафных санкций, в кассационной жалобе не приведено. Иные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 учетом изложенного приведенные заявителем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"Дорстрой" (подробнее) Ответчики: Управление Федеральной антимонопольной службы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