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29.09.2020, оставленным без изменения постановлением Восемнадцатого арбитражного апелляционного суда от 04.03.2021 и постановлением Арбитражного суда Уральского округа от 08.07.2021, в удовлетворении первоначального иска отказано, встречный иск удовлетворен частично. В кассационной жалобе общество «Транссервис» просит отменить судебные акты по встречному иску, ссылаясь на неосновательное 2 неприменение сокращенного срока исковой давности к требованию из перевозки.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неоказание обществом «Транссервис» услуг в рамках договора от 14.11.2018 № РТС-18/150 и прекращение этого договора по инициативе общества «ЧЗТПА», поэтому правомерно применили к взыскиваемой по встречному иску сумме неотработанного аванса срок исковой давности для требования из неосновательного обогащения.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