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Новосибирской области с иском о взыскании с акционерного общества «Сибирский Антрацит» 619 360 рублей неустойки за нарушение грузоподъемности вагона, 312 285 рублей неустойки за занижение размера провозных платежей, 216 рублей недобора провозной платы.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«Разрез Кийзасский». Решением Арбитражного суда Новосибирской области от 22.01.2021 иск удовлетворен. Постановлением Седьмого арбитражного апелляционного суда от 13.04.2021 решение суда первой инстанции оставлено без изменения. Арбитражный суд Западно-Сибирского округа постановлением от 16.08.2021 указанные судебные акты оставил без изменения. 2 Акционерное общество «Сибирский Антрацит»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излишек массы груза превышает значение допустимой погрешности расхождения массы груза, определенной грузоотправителем и перевозчиком, признав доказанным факт превышения фактической массы груза над грузоподъемностью вагона, руководствуясь параграфом 1, пунктом 3 и 4 параграфа 3 статьи 16, параграфом 5 статьи 19 Соглашения о международном железнодорожном грузовом сообщении, Правилами перевозок грузов (приложение № 1 к Соглашению о международном железнодорожном грузовом сообщении), положениями статей 2, 7, 784, 785, 793 Гражданского кодекса Российской Федерации, статей 26, 41 Федерального закона от 10.01.2003 № 18-ФЗ «Устав железнодорожного транспорта Российской Федерации», Рекомендациями МИ 3115-2008 «Масса грузов, перевозимых железнодорожным транспортом. Измерения и учет массы груза при взаиморасчетах между грузоотправителем и грузополучателем», утвержденными федеральным государственным унитарным предприятием «ВНИИМС» Ростехрегулирования 20.05.2008, суды пришли к выводу об обоснованности иска. Доводы, изложенные в кассационной жалобе, приводились при рассмотрении дела, являлись предметом рассмотрения судов и мотивированно отклонены. Оснований для применения при расчете погрешностей Рекомендаций МИ 3115-2008, а не технической документации на весы, в которых определена погрешность конкретного средства измерения, 3 используемого для взвешивания, судами не установлено.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«Сибирский Антрацит»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