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Кузнецовой Валентины Петровны финансовый управляющий имуществом должника обратился в Арбитражный суд города Москвы с уточненным заявлением о признании недействительной сделки в виде перехода права собственности на объект недвижимости ¼ доли квартиры (общая площадь 54,5 кв. м., находящейся по адресу: г. Москва, ул. Изюмская, д. 39, корп. 1, кв. 178, кадастровый номер 77:06:0012014:5075) от должника в пользу Пестова Валерия Павловича и применении последствий недействительности сделки. Определением Арбитражного суда города Москвы от 09.10.2019 признан недействительной сделкой переход права собственности на спорный объект недвижимости от должника в пользу Пестова В.П., применены последствия недействительности сделки путем восстановления права собственности Кузнецовой В.П. на ¼ доли квартиры и восстановлена задолженность Кузнецовой В.П. перед Пестовым В.П. в сумме 752 305 рублей. Пестов Валерий Павлович обратился в Девятый арбитражный апелляционный суд с жалобой на определение суда первой инстанции. 2 Определением Девятого арбитражного апелляционного суда от 18.05.2021 производство по апелляционной жалобе прекращено применительно к статье 150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обжалование. Арбитражный суд Московского округа постановлением от 19.07.2021 определение суда апелляционной инстанции оставил без изменения. Пестов Валерий Павлович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Поскольку определение суда первой инстанции не было предметом рассмотрения по существу в арбитражном суде апелляционной инстанции или в окружном суде и отсутствуют постановления арбитражного суда апелляционной инстанции и (или) окружного суда, принятые по существу спора, кассационная жалоба на определение суда первой инстанции не подлежит рассмотрению как поданная с нарушением правил подсудности, установленных частью 2 статьи 291.1 Арбитражного процессуального кодекса Российской Федерации. Кассационная жалоба на определение суда апелляционной инстанции и постановление окружного суда подана в порядке, предусмотренном статьями 291.1-291.3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291.1-291.15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Судом апелляционной инстанции установлено, что апелляционная жалоба на определение суда первой инстанции от 09.10.2019 подана заявителем 3 03.04.2021 – с пропуском срока на обжалование судебного акта, установленного Арбитражным процессуальным кодексом Российской Федерации.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поскольку заявитель был надлежащим образом извещен о времени и месте судебного разбирательства по рассмотрению обособленного спора по заявлению финансового управляющего. Признав причины пропуска срока неуважительными, суд апелляционной инстанции прекратил производство по жалобе применительно к статье 150 Арбитражного процессуального кодекса Российской Федерации.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Пестову Валерию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