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Согласно части 2 статьи 291.2 Арбитражного процессуального кодекса Российской Федерации (далее -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того же Кодекса).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АПК РФ предельные допустимые сроки для его восстановления. Поскольку общество подало ходатайство в пределах указанного срока, суд считает возможным его удовлетворить и на основании части 2 статьи 291.2 АПК РФ восстановить пропущенный на один день процессуальный срок на подачу жалобы. Принимая во внимание изложенное и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«БелТрансГруп» о восстановлении пропущенного процессуального срока на подачу кассационной жалобы на решение Арбитражного суда Белгородской области от 12.01.2021, постановление Девятнадцатого арбитражного апелляционного суда от 22.04.2021 и постановление Арбитражного суда Центрального округа от 19.08.2021 по делу № А08-5584/2020.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