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Кострыкин Ю.Н. обратился в суд с заявлением о включении в реестр требований кредиторов должника (далее – реестр) задолженности в размере 2 183 000 рублей, одновременно заявив ходатайство о восстановлении пропущенного срока. Определением Арбитражного суда города Москвы от 15.02.2021 пропущенный срок на предъявление требования восстановлен, требование включено в третью очередь реестра. Постановлением Девятого арбитражного апелляционного суда от 28.04.2021, оставленным без изменения постановлением Арбитражного суда Московского округа от 13.07.2021, данное определение изменено. В удовлетворении ходатайства о восстановлении пропущенного срока на предъявление требований к должнику отказано, требование признано подлежащим удовлетворению за счёт имущества, оставшегося после удовлетворения требований реестровых кредиторов.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71, 100, 142 Федерального закона от 26.10.2002 № 127-ФЗ «О несостоятельности (банкротстве)»,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Федерации», исходили из пропуска установленного законом срока на подачу заявления и отсутствия уважительных причин для его восстановления лицу, осведомлённому о введении процедуры реализации имущества должника в отношении супруги, в связи с чем отказали в удовлетворении ходатайства и включили требование за реестр.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Кострыкину Юрию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